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7AA2" w14:textId="6C414200" w:rsidR="003E6958" w:rsidRPr="008029B9" w:rsidRDefault="003E6958" w:rsidP="008029B9">
      <w:pPr>
        <w:spacing w:after="0" w:line="240" w:lineRule="auto"/>
        <w:rPr>
          <w:rFonts w:ascii="Arial" w:hAnsi="Arial" w:cs="Arial"/>
        </w:rPr>
      </w:pPr>
      <w:r w:rsidRPr="008029B9">
        <w:rPr>
          <w:rFonts w:ascii="Arial" w:hAnsi="Arial" w:cs="Arial"/>
          <w:b/>
          <w:bCs/>
        </w:rPr>
        <w:t xml:space="preserve">Appendix 1: Accelerating the recruitment of social prescribing link workers </w:t>
      </w:r>
    </w:p>
    <w:p w14:paraId="7D1A1269" w14:textId="77777777" w:rsidR="008A7E74" w:rsidRPr="008029B9" w:rsidRDefault="008A7E74" w:rsidP="008029B9">
      <w:pPr>
        <w:spacing w:after="0" w:line="240" w:lineRule="auto"/>
        <w:rPr>
          <w:rFonts w:ascii="Arial" w:hAnsi="Arial" w:cs="Arial"/>
        </w:rPr>
      </w:pPr>
    </w:p>
    <w:p w14:paraId="52C96953" w14:textId="2BEBC841" w:rsidR="003E6958" w:rsidRPr="008029B9" w:rsidRDefault="003E6958" w:rsidP="008029B9">
      <w:pPr>
        <w:spacing w:after="0" w:line="240" w:lineRule="auto"/>
        <w:rPr>
          <w:rFonts w:ascii="Arial" w:hAnsi="Arial" w:cs="Arial"/>
        </w:rPr>
      </w:pPr>
      <w:r w:rsidRPr="008029B9">
        <w:rPr>
          <w:rFonts w:ascii="Arial" w:hAnsi="Arial" w:cs="Arial"/>
        </w:rPr>
        <w:t xml:space="preserve">If you would like to take up this support offer, please send your completed expression of interest form to </w:t>
      </w:r>
      <w:r w:rsidRPr="008029B9">
        <w:rPr>
          <w:rFonts w:ascii="Arial" w:hAnsi="Arial" w:cs="Arial"/>
          <w:color w:val="0462C1"/>
        </w:rPr>
        <w:t xml:space="preserve">england.linkworkerrecruitment@nhs.net </w:t>
      </w:r>
      <w:r w:rsidRPr="008029B9">
        <w:rPr>
          <w:rFonts w:ascii="Arial" w:hAnsi="Arial" w:cs="Arial"/>
        </w:rPr>
        <w:t xml:space="preserve">by Monday 24 August. </w:t>
      </w:r>
    </w:p>
    <w:p w14:paraId="0F6E3F3B" w14:textId="77777777" w:rsidR="008A7E74" w:rsidRPr="008029B9" w:rsidRDefault="008A7E74" w:rsidP="008029B9">
      <w:pPr>
        <w:spacing w:after="0" w:line="240" w:lineRule="auto"/>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7"/>
        <w:gridCol w:w="4417"/>
      </w:tblGrid>
      <w:tr w:rsidR="003E6958" w:rsidRPr="008029B9" w14:paraId="3E599284" w14:textId="77777777">
        <w:trPr>
          <w:trHeight w:val="103"/>
        </w:trPr>
        <w:tc>
          <w:tcPr>
            <w:tcW w:w="8834" w:type="dxa"/>
            <w:gridSpan w:val="2"/>
          </w:tcPr>
          <w:p w14:paraId="13DA7224" w14:textId="77777777" w:rsidR="003E6958" w:rsidRPr="008029B9" w:rsidRDefault="003E6958" w:rsidP="008029B9">
            <w:pPr>
              <w:spacing w:after="0" w:line="240" w:lineRule="auto"/>
              <w:rPr>
                <w:rFonts w:ascii="Arial" w:hAnsi="Arial" w:cs="Arial"/>
              </w:rPr>
            </w:pPr>
            <w:r w:rsidRPr="008029B9">
              <w:rPr>
                <w:rFonts w:ascii="Arial" w:hAnsi="Arial" w:cs="Arial"/>
                <w:b/>
                <w:bCs/>
              </w:rPr>
              <w:t xml:space="preserve">Expression of interest form PCN details </w:t>
            </w:r>
          </w:p>
        </w:tc>
      </w:tr>
      <w:tr w:rsidR="003E6958" w:rsidRPr="008029B9" w14:paraId="4E06FF14" w14:textId="77777777">
        <w:trPr>
          <w:trHeight w:val="103"/>
        </w:trPr>
        <w:tc>
          <w:tcPr>
            <w:tcW w:w="8834" w:type="dxa"/>
            <w:gridSpan w:val="2"/>
          </w:tcPr>
          <w:p w14:paraId="28F5C548" w14:textId="77777777" w:rsidR="008A7E74" w:rsidRPr="008029B9" w:rsidRDefault="008A7E74" w:rsidP="008029B9">
            <w:pPr>
              <w:spacing w:after="0" w:line="240" w:lineRule="auto"/>
              <w:rPr>
                <w:rFonts w:ascii="Arial" w:hAnsi="Arial" w:cs="Arial"/>
              </w:rPr>
            </w:pPr>
          </w:p>
          <w:p w14:paraId="097B424C" w14:textId="77777777" w:rsidR="003E6958" w:rsidRPr="008029B9" w:rsidRDefault="003E6958" w:rsidP="008029B9">
            <w:pPr>
              <w:spacing w:after="0" w:line="240" w:lineRule="auto"/>
              <w:rPr>
                <w:rFonts w:ascii="Arial" w:hAnsi="Arial" w:cs="Arial"/>
              </w:rPr>
            </w:pPr>
            <w:r w:rsidRPr="008029B9">
              <w:rPr>
                <w:rFonts w:ascii="Arial" w:hAnsi="Arial" w:cs="Arial"/>
              </w:rPr>
              <w:t xml:space="preserve">Name of PCN: </w:t>
            </w:r>
          </w:p>
          <w:p w14:paraId="0D5697B7" w14:textId="779E2841" w:rsidR="008A7E74" w:rsidRPr="008029B9" w:rsidRDefault="008A7E74" w:rsidP="008029B9">
            <w:pPr>
              <w:spacing w:after="0" w:line="240" w:lineRule="auto"/>
              <w:rPr>
                <w:rFonts w:ascii="Arial" w:hAnsi="Arial" w:cs="Arial"/>
              </w:rPr>
            </w:pPr>
          </w:p>
        </w:tc>
      </w:tr>
      <w:tr w:rsidR="003E6958" w:rsidRPr="008029B9" w14:paraId="77823838" w14:textId="77777777">
        <w:trPr>
          <w:trHeight w:val="103"/>
        </w:trPr>
        <w:tc>
          <w:tcPr>
            <w:tcW w:w="8834" w:type="dxa"/>
            <w:gridSpan w:val="2"/>
          </w:tcPr>
          <w:p w14:paraId="372B3A1C" w14:textId="77777777" w:rsidR="008A7E74" w:rsidRPr="008029B9" w:rsidRDefault="008A7E74" w:rsidP="008029B9">
            <w:pPr>
              <w:spacing w:after="0" w:line="240" w:lineRule="auto"/>
              <w:rPr>
                <w:rFonts w:ascii="Arial" w:hAnsi="Arial" w:cs="Arial"/>
                <w:b/>
                <w:bCs/>
              </w:rPr>
            </w:pPr>
          </w:p>
          <w:p w14:paraId="7A27DAFB" w14:textId="77777777" w:rsidR="003E6958" w:rsidRPr="008029B9" w:rsidRDefault="003E6958" w:rsidP="008029B9">
            <w:pPr>
              <w:spacing w:after="0" w:line="240" w:lineRule="auto"/>
              <w:rPr>
                <w:rFonts w:ascii="Arial" w:hAnsi="Arial" w:cs="Arial"/>
                <w:b/>
                <w:bCs/>
              </w:rPr>
            </w:pPr>
            <w:r w:rsidRPr="008029B9">
              <w:rPr>
                <w:rFonts w:ascii="Arial" w:hAnsi="Arial" w:cs="Arial"/>
                <w:b/>
                <w:bCs/>
              </w:rPr>
              <w:t xml:space="preserve">Key contact </w:t>
            </w:r>
          </w:p>
          <w:p w14:paraId="7D74738F" w14:textId="10612728" w:rsidR="008A7E74" w:rsidRPr="008029B9" w:rsidRDefault="008A7E74" w:rsidP="008029B9">
            <w:pPr>
              <w:spacing w:after="0" w:line="240" w:lineRule="auto"/>
              <w:rPr>
                <w:rFonts w:ascii="Arial" w:hAnsi="Arial" w:cs="Arial"/>
              </w:rPr>
            </w:pPr>
          </w:p>
        </w:tc>
      </w:tr>
      <w:tr w:rsidR="003E6958" w:rsidRPr="008029B9" w14:paraId="60AE0916" w14:textId="77777777">
        <w:trPr>
          <w:trHeight w:val="103"/>
        </w:trPr>
        <w:tc>
          <w:tcPr>
            <w:tcW w:w="8834" w:type="dxa"/>
            <w:gridSpan w:val="2"/>
          </w:tcPr>
          <w:p w14:paraId="7A5C6278" w14:textId="77777777" w:rsidR="008A7E74" w:rsidRPr="008029B9" w:rsidRDefault="008A7E74" w:rsidP="008029B9">
            <w:pPr>
              <w:spacing w:after="0" w:line="240" w:lineRule="auto"/>
              <w:rPr>
                <w:rFonts w:ascii="Arial" w:hAnsi="Arial" w:cs="Arial"/>
              </w:rPr>
            </w:pPr>
          </w:p>
          <w:p w14:paraId="715B3E68" w14:textId="77777777" w:rsidR="003E6958" w:rsidRPr="008029B9" w:rsidRDefault="003E6958" w:rsidP="008029B9">
            <w:pPr>
              <w:spacing w:after="0" w:line="240" w:lineRule="auto"/>
              <w:rPr>
                <w:rFonts w:ascii="Arial" w:hAnsi="Arial" w:cs="Arial"/>
              </w:rPr>
            </w:pPr>
            <w:r w:rsidRPr="008029B9">
              <w:rPr>
                <w:rFonts w:ascii="Arial" w:hAnsi="Arial" w:cs="Arial"/>
              </w:rPr>
              <w:t xml:space="preserve">Name: </w:t>
            </w:r>
          </w:p>
          <w:p w14:paraId="59B3C589" w14:textId="453A8709" w:rsidR="008A7E74" w:rsidRPr="008029B9" w:rsidRDefault="008A7E74" w:rsidP="008029B9">
            <w:pPr>
              <w:spacing w:after="0" w:line="240" w:lineRule="auto"/>
              <w:rPr>
                <w:rFonts w:ascii="Arial" w:hAnsi="Arial" w:cs="Arial"/>
              </w:rPr>
            </w:pPr>
          </w:p>
        </w:tc>
      </w:tr>
      <w:tr w:rsidR="003E6958" w:rsidRPr="008029B9" w14:paraId="736D4C8E" w14:textId="77777777">
        <w:trPr>
          <w:trHeight w:val="103"/>
        </w:trPr>
        <w:tc>
          <w:tcPr>
            <w:tcW w:w="8834" w:type="dxa"/>
            <w:gridSpan w:val="2"/>
          </w:tcPr>
          <w:p w14:paraId="4F50A492" w14:textId="77777777" w:rsidR="008A7E74" w:rsidRPr="008029B9" w:rsidRDefault="008A7E74" w:rsidP="008029B9">
            <w:pPr>
              <w:spacing w:after="0" w:line="240" w:lineRule="auto"/>
              <w:rPr>
                <w:rFonts w:ascii="Arial" w:hAnsi="Arial" w:cs="Arial"/>
              </w:rPr>
            </w:pPr>
          </w:p>
          <w:p w14:paraId="4A5F78D0" w14:textId="77777777" w:rsidR="003E6958" w:rsidRPr="008029B9" w:rsidRDefault="003E6958" w:rsidP="008029B9">
            <w:pPr>
              <w:spacing w:after="0" w:line="240" w:lineRule="auto"/>
              <w:rPr>
                <w:rFonts w:ascii="Arial" w:hAnsi="Arial" w:cs="Arial"/>
              </w:rPr>
            </w:pPr>
            <w:r w:rsidRPr="008029B9">
              <w:rPr>
                <w:rFonts w:ascii="Arial" w:hAnsi="Arial" w:cs="Arial"/>
              </w:rPr>
              <w:t xml:space="preserve">Email: </w:t>
            </w:r>
          </w:p>
          <w:p w14:paraId="0F9F758D" w14:textId="63C652B3" w:rsidR="008A7E74" w:rsidRPr="008029B9" w:rsidRDefault="008A7E74" w:rsidP="008029B9">
            <w:pPr>
              <w:spacing w:after="0" w:line="240" w:lineRule="auto"/>
              <w:rPr>
                <w:rFonts w:ascii="Arial" w:hAnsi="Arial" w:cs="Arial"/>
              </w:rPr>
            </w:pPr>
          </w:p>
        </w:tc>
      </w:tr>
      <w:tr w:rsidR="003E6958" w:rsidRPr="008029B9" w14:paraId="10F086C2" w14:textId="77777777">
        <w:trPr>
          <w:trHeight w:val="103"/>
        </w:trPr>
        <w:tc>
          <w:tcPr>
            <w:tcW w:w="8834" w:type="dxa"/>
            <w:gridSpan w:val="2"/>
          </w:tcPr>
          <w:p w14:paraId="6E538855" w14:textId="77777777" w:rsidR="003E6958" w:rsidRPr="008029B9" w:rsidRDefault="003E6958" w:rsidP="008029B9">
            <w:pPr>
              <w:spacing w:after="0" w:line="240" w:lineRule="auto"/>
              <w:rPr>
                <w:rFonts w:ascii="Arial" w:hAnsi="Arial" w:cs="Arial"/>
                <w:b/>
                <w:bCs/>
              </w:rPr>
            </w:pPr>
            <w:r w:rsidRPr="008029B9">
              <w:rPr>
                <w:rFonts w:ascii="Arial" w:hAnsi="Arial" w:cs="Arial"/>
                <w:b/>
                <w:bCs/>
              </w:rPr>
              <w:t xml:space="preserve">Support requested (tick one) </w:t>
            </w:r>
          </w:p>
          <w:p w14:paraId="431ED57A" w14:textId="4BAAB0F5" w:rsidR="008A7E74" w:rsidRPr="008029B9" w:rsidRDefault="008A7E74" w:rsidP="008029B9">
            <w:pPr>
              <w:spacing w:after="0" w:line="240" w:lineRule="auto"/>
              <w:rPr>
                <w:rFonts w:ascii="Arial" w:hAnsi="Arial" w:cs="Arial"/>
              </w:rPr>
            </w:pPr>
          </w:p>
        </w:tc>
      </w:tr>
      <w:tr w:rsidR="003E6958" w:rsidRPr="008029B9" w14:paraId="3671DD36" w14:textId="77777777">
        <w:trPr>
          <w:trHeight w:val="482"/>
        </w:trPr>
        <w:tc>
          <w:tcPr>
            <w:tcW w:w="4417" w:type="dxa"/>
          </w:tcPr>
          <w:p w14:paraId="48C34157" w14:textId="77777777" w:rsidR="003E6958" w:rsidRPr="008029B9" w:rsidRDefault="003E6958" w:rsidP="008029B9">
            <w:pPr>
              <w:spacing w:after="0" w:line="240" w:lineRule="auto"/>
              <w:rPr>
                <w:rFonts w:ascii="Arial" w:hAnsi="Arial" w:cs="Arial"/>
              </w:rPr>
            </w:pPr>
            <w:r w:rsidRPr="008029B9">
              <w:rPr>
                <w:rFonts w:ascii="Arial" w:hAnsi="Arial" w:cs="Arial"/>
                <w:b/>
                <w:bCs/>
              </w:rPr>
              <w:t xml:space="preserve">Option 1: VCSE </w:t>
            </w:r>
            <w:r w:rsidRPr="008029B9">
              <w:rPr>
                <w:rFonts w:ascii="Arial" w:hAnsi="Arial" w:cs="Arial"/>
              </w:rPr>
              <w:t xml:space="preserve">– local VCSE provider of social prescribing services undertakes the full recruitment and induction process (advertising the post, shortlisting applicants, arranging and doing virtual interviews, taking up references, DBS checks, notifying candidates of the outcome and basic induction), working closely with the PCN </w:t>
            </w:r>
          </w:p>
          <w:p w14:paraId="766E875B" w14:textId="437A600A" w:rsidR="008A7E74" w:rsidRPr="008029B9" w:rsidRDefault="008A7E74" w:rsidP="008029B9">
            <w:pPr>
              <w:spacing w:after="0" w:line="240" w:lineRule="auto"/>
              <w:rPr>
                <w:rFonts w:ascii="Arial" w:hAnsi="Arial" w:cs="Arial"/>
              </w:rPr>
            </w:pPr>
          </w:p>
        </w:tc>
        <w:tc>
          <w:tcPr>
            <w:tcW w:w="4417" w:type="dxa"/>
          </w:tcPr>
          <w:p w14:paraId="094BA7D2" w14:textId="77777777" w:rsidR="003E6958" w:rsidRPr="008029B9" w:rsidRDefault="003E6958" w:rsidP="008029B9">
            <w:pPr>
              <w:spacing w:after="0" w:line="240" w:lineRule="auto"/>
              <w:rPr>
                <w:rFonts w:ascii="Arial" w:hAnsi="Arial" w:cs="Arial"/>
              </w:rPr>
            </w:pPr>
            <w:r w:rsidRPr="008029B9">
              <w:rPr>
                <w:rFonts w:ascii="Segoe UI Symbol" w:hAnsi="Segoe UI Symbol" w:cs="Segoe UI Symbol"/>
              </w:rPr>
              <w:t>☐</w:t>
            </w:r>
            <w:r w:rsidRPr="008029B9">
              <w:rPr>
                <w:rFonts w:ascii="Arial" w:hAnsi="Arial" w:cs="Arial"/>
              </w:rPr>
              <w:t xml:space="preserve"> </w:t>
            </w:r>
          </w:p>
        </w:tc>
      </w:tr>
      <w:tr w:rsidR="003E6958" w:rsidRPr="008029B9" w14:paraId="255E7EDE" w14:textId="77777777">
        <w:trPr>
          <w:trHeight w:val="356"/>
        </w:trPr>
        <w:tc>
          <w:tcPr>
            <w:tcW w:w="4417" w:type="dxa"/>
          </w:tcPr>
          <w:p w14:paraId="11B37067" w14:textId="77777777" w:rsidR="003E6958" w:rsidRPr="008029B9" w:rsidRDefault="003E6958" w:rsidP="008029B9">
            <w:pPr>
              <w:spacing w:after="0" w:line="240" w:lineRule="auto"/>
              <w:rPr>
                <w:rFonts w:ascii="Arial" w:hAnsi="Arial" w:cs="Arial"/>
              </w:rPr>
            </w:pPr>
            <w:r w:rsidRPr="008029B9">
              <w:rPr>
                <w:rFonts w:ascii="Arial" w:hAnsi="Arial" w:cs="Arial"/>
                <w:b/>
                <w:bCs/>
              </w:rPr>
              <w:t xml:space="preserve">Option 2: CSU </w:t>
            </w:r>
            <w:r w:rsidRPr="008029B9">
              <w:rPr>
                <w:rFonts w:ascii="Arial" w:hAnsi="Arial" w:cs="Arial"/>
              </w:rPr>
              <w:t xml:space="preserve">– South, Central &amp; West CSU provides a basic administrative function (processing applications, arranging </w:t>
            </w:r>
            <w:proofErr w:type="gramStart"/>
            <w:r w:rsidRPr="008029B9">
              <w:rPr>
                <w:rFonts w:ascii="Arial" w:hAnsi="Arial" w:cs="Arial"/>
              </w:rPr>
              <w:t>interviews</w:t>
            </w:r>
            <w:proofErr w:type="gramEnd"/>
            <w:r w:rsidRPr="008029B9">
              <w:rPr>
                <w:rFonts w:ascii="Arial" w:hAnsi="Arial" w:cs="Arial"/>
              </w:rPr>
              <w:t xml:space="preserve"> and supporting DBS checks); PCN undertakes advertising, selection and induction process </w:t>
            </w:r>
          </w:p>
          <w:p w14:paraId="494023C1" w14:textId="05AE7B0E" w:rsidR="008A7E74" w:rsidRPr="008029B9" w:rsidRDefault="008A7E74" w:rsidP="008029B9">
            <w:pPr>
              <w:spacing w:after="0" w:line="240" w:lineRule="auto"/>
              <w:rPr>
                <w:rFonts w:ascii="Arial" w:hAnsi="Arial" w:cs="Arial"/>
              </w:rPr>
            </w:pPr>
          </w:p>
        </w:tc>
        <w:tc>
          <w:tcPr>
            <w:tcW w:w="4417" w:type="dxa"/>
          </w:tcPr>
          <w:p w14:paraId="3CA8735D" w14:textId="77777777" w:rsidR="003E6958" w:rsidRPr="008029B9" w:rsidRDefault="003E6958" w:rsidP="008029B9">
            <w:pPr>
              <w:spacing w:after="0" w:line="240" w:lineRule="auto"/>
              <w:rPr>
                <w:rFonts w:ascii="Arial" w:hAnsi="Arial" w:cs="Arial"/>
              </w:rPr>
            </w:pPr>
            <w:r w:rsidRPr="008029B9">
              <w:rPr>
                <w:rFonts w:ascii="Segoe UI Symbol" w:hAnsi="Segoe UI Symbol" w:cs="Segoe UI Symbol"/>
              </w:rPr>
              <w:t>☐</w:t>
            </w:r>
            <w:r w:rsidRPr="008029B9">
              <w:rPr>
                <w:rFonts w:ascii="Arial" w:hAnsi="Arial" w:cs="Arial"/>
              </w:rPr>
              <w:t xml:space="preserve"> </w:t>
            </w:r>
          </w:p>
        </w:tc>
      </w:tr>
    </w:tbl>
    <w:p w14:paraId="2B9FA103" w14:textId="77777777" w:rsidR="00707613" w:rsidRPr="008029B9" w:rsidRDefault="00707613" w:rsidP="008029B9">
      <w:pPr>
        <w:spacing w:after="0" w:line="240" w:lineRule="auto"/>
        <w:rPr>
          <w:rFonts w:ascii="Arial" w:hAnsi="Arial" w:cs="Arial"/>
        </w:rPr>
      </w:pPr>
    </w:p>
    <w:sectPr w:rsidR="00707613" w:rsidRPr="00802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B383FC"/>
    <w:multiLevelType w:val="hybridMultilevel"/>
    <w:tmpl w:val="D6253D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BA4874"/>
    <w:multiLevelType w:val="multilevel"/>
    <w:tmpl w:val="83E8F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A1731"/>
    <w:multiLevelType w:val="hybridMultilevel"/>
    <w:tmpl w:val="67D8C2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58"/>
    <w:rsid w:val="00256A2B"/>
    <w:rsid w:val="00273511"/>
    <w:rsid w:val="00341667"/>
    <w:rsid w:val="003E6958"/>
    <w:rsid w:val="00707613"/>
    <w:rsid w:val="008029B9"/>
    <w:rsid w:val="008A7E74"/>
    <w:rsid w:val="00AE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94CB"/>
  <w15:chartTrackingRefBased/>
  <w15:docId w15:val="{E9B9D13E-4B43-4A40-A7BD-DF1C3A64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6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511"/>
    <w:rPr>
      <w:rFonts w:ascii="Garamond" w:hAnsi="Garamond"/>
      <w:noProof/>
      <w:color w:val="4472C4" w:themeColor="accent1"/>
      <w:sz w:val="20"/>
      <w:u w:val="single"/>
    </w:rPr>
  </w:style>
  <w:style w:type="character" w:customStyle="1" w:styleId="Heading1Char">
    <w:name w:val="Heading 1 Char"/>
    <w:basedOn w:val="DefaultParagraphFont"/>
    <w:link w:val="Heading1"/>
    <w:uiPriority w:val="9"/>
    <w:rsid w:val="003E6958"/>
    <w:rPr>
      <w:rFonts w:ascii="Times New Roman" w:eastAsia="Times New Roman" w:hAnsi="Times New Roman" w:cs="Times New Roman"/>
      <w:b/>
      <w:bCs/>
      <w:kern w:val="36"/>
      <w:sz w:val="48"/>
      <w:szCs w:val="48"/>
      <w:lang w:eastAsia="en-GB"/>
    </w:rPr>
  </w:style>
  <w:style w:type="paragraph" w:customStyle="1" w:styleId="Default">
    <w:name w:val="Default"/>
    <w:rsid w:val="003E69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029B9"/>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029B9"/>
    <w:rPr>
      <w:b/>
      <w:bCs/>
    </w:rPr>
  </w:style>
  <w:style w:type="character" w:styleId="Emphasis">
    <w:name w:val="Emphasis"/>
    <w:basedOn w:val="DefaultParagraphFont"/>
    <w:uiPriority w:val="20"/>
    <w:qFormat/>
    <w:rsid w:val="00802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9378">
      <w:bodyDiv w:val="1"/>
      <w:marLeft w:val="0"/>
      <w:marRight w:val="0"/>
      <w:marTop w:val="0"/>
      <w:marBottom w:val="0"/>
      <w:divBdr>
        <w:top w:val="none" w:sz="0" w:space="0" w:color="auto"/>
        <w:left w:val="none" w:sz="0" w:space="0" w:color="auto"/>
        <w:bottom w:val="none" w:sz="0" w:space="0" w:color="auto"/>
        <w:right w:val="none" w:sz="0" w:space="0" w:color="auto"/>
      </w:divBdr>
    </w:div>
    <w:div w:id="17565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9FFE9-FFC0-4630-AC1A-3534C3BD1532}">
  <ds:schemaRefs>
    <ds:schemaRef ds:uri="http://schemas.microsoft.com/office/2006/metadata/properties"/>
    <ds:schemaRef ds:uri="http://schemas.microsoft.com/office/infopath/2007/PartnerControls"/>
    <ds:schemaRef ds:uri="07274d46-fa5f-4f52-9124-efa73cb48559"/>
  </ds:schemaRefs>
</ds:datastoreItem>
</file>

<file path=customXml/itemProps2.xml><?xml version="1.0" encoding="utf-8"?>
<ds:datastoreItem xmlns:ds="http://schemas.openxmlformats.org/officeDocument/2006/customXml" ds:itemID="{F7BC4E71-E75C-4430-B8A8-DAC3CC88CB8B}">
  <ds:schemaRefs>
    <ds:schemaRef ds:uri="http://schemas.microsoft.com/sharepoint/v3/contenttype/forms"/>
  </ds:schemaRefs>
</ds:datastoreItem>
</file>

<file path=customXml/itemProps3.xml><?xml version="1.0" encoding="utf-8"?>
<ds:datastoreItem xmlns:ds="http://schemas.openxmlformats.org/officeDocument/2006/customXml" ds:itemID="{DC1A19B2-1068-4A90-9483-8D3F3533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 - Kent Local Medical Committee</dc:creator>
  <cp:keywords/>
  <dc:description/>
  <cp:lastModifiedBy>Kelly Brown - Kent Local Medical Committee</cp:lastModifiedBy>
  <cp:revision>3</cp:revision>
  <dcterms:created xsi:type="dcterms:W3CDTF">2020-08-17T08:22:00Z</dcterms:created>
  <dcterms:modified xsi:type="dcterms:W3CDTF">2020-08-17T08:23:00Z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