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2688" w14:textId="0E14FCAB" w:rsidR="006754D9" w:rsidRDefault="006754D9"/>
    <w:p w14:paraId="710D8434" w14:textId="5DD9D662" w:rsidR="00EF5A2E" w:rsidRDefault="00EF5A2E">
      <w:pPr>
        <w:rPr>
          <w:rFonts w:ascii="Verdana" w:hAnsi="Verdana"/>
        </w:rPr>
      </w:pPr>
      <w:r>
        <w:br/>
      </w:r>
      <w:r>
        <w:rPr>
          <w:rFonts w:ascii="Verdana" w:hAnsi="Verdana"/>
        </w:rPr>
        <w:t>From 1</w:t>
      </w:r>
      <w:r w:rsidRPr="00EF5A2E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November (2022), all patients </w:t>
      </w:r>
      <w:r w:rsidR="00D20834">
        <w:rPr>
          <w:rFonts w:ascii="Verdana" w:hAnsi="Verdana"/>
        </w:rPr>
        <w:t xml:space="preserve">aged 16+ </w:t>
      </w:r>
      <w:r>
        <w:rPr>
          <w:rFonts w:ascii="Verdana" w:hAnsi="Verdana"/>
        </w:rPr>
        <w:t xml:space="preserve">will have the ability to </w:t>
      </w:r>
      <w:r>
        <w:rPr>
          <w:rFonts w:ascii="Verdana" w:hAnsi="Verdana"/>
          <w:i/>
          <w:iCs/>
        </w:rPr>
        <w:t xml:space="preserve">automatically </w:t>
      </w:r>
      <w:r>
        <w:rPr>
          <w:rFonts w:ascii="Verdana" w:hAnsi="Verdana"/>
        </w:rPr>
        <w:t xml:space="preserve">view information </w:t>
      </w:r>
      <w:r>
        <w:rPr>
          <w:rFonts w:ascii="Verdana" w:hAnsi="Verdana"/>
          <w:i/>
          <w:iCs/>
        </w:rPr>
        <w:t>subsequently added</w:t>
      </w:r>
      <w:r>
        <w:rPr>
          <w:rFonts w:ascii="Verdana" w:hAnsi="Verdana"/>
        </w:rPr>
        <w:t xml:space="preserve"> to their electronic GP record – that is, information added on or after 1</w:t>
      </w:r>
      <w:r w:rsidRPr="00EF5A2E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November.</w:t>
      </w:r>
    </w:p>
    <w:p w14:paraId="53D7A031" w14:textId="40562407" w:rsidR="00EF5A2E" w:rsidRPr="00EF5A2E" w:rsidRDefault="00EF5A2E" w:rsidP="00EF5A2E">
      <w:pPr>
        <w:rPr>
          <w:rFonts w:ascii="Verdana" w:hAnsi="Verdana"/>
          <w:i/>
          <w:iCs/>
        </w:rPr>
      </w:pPr>
      <w:r w:rsidRPr="00EF5A2E">
        <w:rPr>
          <w:rFonts w:ascii="Verdana" w:hAnsi="Verdana"/>
          <w:i/>
          <w:iCs/>
        </w:rPr>
        <w:t>What does that mean?</w:t>
      </w:r>
    </w:p>
    <w:p w14:paraId="43B107B8" w14:textId="2805E8F1" w:rsidR="00EF5A2E" w:rsidRPr="00EF5A2E" w:rsidRDefault="00EF5A2E" w:rsidP="00EF5A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F5A2E">
        <w:rPr>
          <w:rFonts w:ascii="Verdana" w:hAnsi="Verdana"/>
        </w:rPr>
        <w:t xml:space="preserve">For patients who already have </w:t>
      </w:r>
      <w:r w:rsidRPr="00EF5A2E">
        <w:rPr>
          <w:rFonts w:ascii="Verdana" w:hAnsi="Verdana"/>
          <w:i/>
          <w:iCs/>
        </w:rPr>
        <w:t xml:space="preserve">full online records access (i.e. access to their entire, historic electronic GP record), </w:t>
      </w:r>
      <w:r w:rsidRPr="00EF5A2E">
        <w:rPr>
          <w:rFonts w:ascii="Verdana" w:hAnsi="Verdana"/>
        </w:rPr>
        <w:t>it means nothing</w:t>
      </w:r>
      <w:r>
        <w:rPr>
          <w:rFonts w:ascii="Verdana" w:hAnsi="Verdana"/>
        </w:rPr>
        <w:br/>
      </w:r>
    </w:p>
    <w:p w14:paraId="539C8883" w14:textId="651F0B48" w:rsidR="00EF5A2E" w:rsidRPr="00EF5A2E" w:rsidRDefault="00EF5A2E" w:rsidP="00EF5A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F5A2E">
        <w:rPr>
          <w:rFonts w:ascii="Verdana" w:hAnsi="Verdana"/>
        </w:rPr>
        <w:t>For patients who have “basic” online access – that is, the ability to</w:t>
      </w:r>
      <w:r w:rsidR="00D20834">
        <w:rPr>
          <w:rFonts w:ascii="Verdana" w:hAnsi="Verdana"/>
        </w:rPr>
        <w:t xml:space="preserve"> just</w:t>
      </w:r>
      <w:r w:rsidRPr="00EF5A2E">
        <w:rPr>
          <w:rFonts w:ascii="Verdana" w:hAnsi="Verdana"/>
        </w:rPr>
        <w:t xml:space="preserve"> request repeat medication, make appoint</w:t>
      </w:r>
      <w:r w:rsidR="00D20834">
        <w:rPr>
          <w:rFonts w:ascii="Verdana" w:hAnsi="Verdana"/>
        </w:rPr>
        <w:t>ments</w:t>
      </w:r>
      <w:r w:rsidRPr="00EF5A2E">
        <w:rPr>
          <w:rFonts w:ascii="Verdana" w:hAnsi="Verdana"/>
        </w:rPr>
        <w:t xml:space="preserve"> (where enabled), and update demographic information – they will automatically, and suddenly, be able to view new information added to their GP record – consultations, results, documents, free text etc</w:t>
      </w:r>
      <w:r>
        <w:rPr>
          <w:rFonts w:ascii="Verdana" w:hAnsi="Verdana"/>
        </w:rPr>
        <w:br/>
      </w:r>
      <w:r w:rsidRPr="00EF5A2E">
        <w:rPr>
          <w:rFonts w:ascii="Verdana" w:hAnsi="Verdana"/>
        </w:rPr>
        <w:t>They will not require our permission, nor will we need to do anything to enable this</w:t>
      </w:r>
      <w:r w:rsidR="00D20834">
        <w:rPr>
          <w:rFonts w:ascii="Verdana" w:hAnsi="Verdana"/>
        </w:rPr>
        <w:br/>
        <w:t xml:space="preserve">They automatically get </w:t>
      </w:r>
      <w:r w:rsidR="00D20834">
        <w:rPr>
          <w:rFonts w:ascii="Verdana" w:hAnsi="Verdana"/>
          <w:i/>
          <w:iCs/>
        </w:rPr>
        <w:t>prospective, detailed, care record access</w:t>
      </w:r>
      <w:r>
        <w:rPr>
          <w:rFonts w:ascii="Verdana" w:hAnsi="Verdana"/>
        </w:rPr>
        <w:br/>
      </w:r>
    </w:p>
    <w:p w14:paraId="42598CEB" w14:textId="6B610C53" w:rsidR="00EF5A2E" w:rsidRPr="00D20834" w:rsidRDefault="00EF5A2E" w:rsidP="00EF5A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F5A2E">
        <w:rPr>
          <w:rFonts w:ascii="Verdana" w:hAnsi="Verdana"/>
        </w:rPr>
        <w:t xml:space="preserve">For patients who do not currently have online access, it means that whenever they do sign up to the NHS App they will then, </w:t>
      </w:r>
      <w:r w:rsidR="00D20834">
        <w:rPr>
          <w:rFonts w:ascii="Verdana" w:hAnsi="Verdana"/>
        </w:rPr>
        <w:t xml:space="preserve">suddenly, </w:t>
      </w:r>
      <w:r w:rsidRPr="00EF5A2E">
        <w:rPr>
          <w:rFonts w:ascii="Verdana" w:hAnsi="Verdana"/>
        </w:rPr>
        <w:t xml:space="preserve">and </w:t>
      </w:r>
      <w:r w:rsidRPr="00EF5A2E">
        <w:rPr>
          <w:rFonts w:ascii="Verdana" w:hAnsi="Verdana"/>
          <w:i/>
          <w:iCs/>
        </w:rPr>
        <w:t>automatically</w:t>
      </w:r>
      <w:r w:rsidRPr="00EF5A2E">
        <w:rPr>
          <w:rFonts w:ascii="Verdana" w:hAnsi="Verdana"/>
        </w:rPr>
        <w:t>, be able to view new information added to their GP record</w:t>
      </w:r>
      <w:r w:rsidRPr="00EF5A2E">
        <w:rPr>
          <w:rFonts w:ascii="Verdana" w:hAnsi="Verdana"/>
        </w:rPr>
        <w:br/>
        <w:t>They will not require our permission, nor will we need to do anything to enable this</w:t>
      </w:r>
      <w:r w:rsidR="00D20834">
        <w:rPr>
          <w:rFonts w:ascii="Verdana" w:hAnsi="Verdana"/>
        </w:rPr>
        <w:br/>
        <w:t xml:space="preserve">They automatically get </w:t>
      </w:r>
      <w:r w:rsidR="00D20834">
        <w:rPr>
          <w:rFonts w:ascii="Verdana" w:hAnsi="Verdana"/>
          <w:i/>
          <w:iCs/>
        </w:rPr>
        <w:t>prospective, detailed, care record access</w:t>
      </w:r>
      <w:r w:rsidR="00D20834">
        <w:rPr>
          <w:rFonts w:ascii="Verdana" w:hAnsi="Verdana"/>
          <w:i/>
          <w:iCs/>
        </w:rPr>
        <w:br/>
      </w:r>
    </w:p>
    <w:p w14:paraId="378FAAD1" w14:textId="5035EF7F" w:rsidR="00D20834" w:rsidRPr="00EF5A2E" w:rsidRDefault="00D20834" w:rsidP="00EF5A2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For children aged &lt;16, and who have an NHS App login, they automatically get </w:t>
      </w:r>
      <w:r>
        <w:rPr>
          <w:rFonts w:ascii="Verdana" w:hAnsi="Verdana"/>
          <w:i/>
          <w:iCs/>
        </w:rPr>
        <w:t>prospective, detailed, care record access</w:t>
      </w:r>
      <w:r>
        <w:rPr>
          <w:rFonts w:ascii="Verdana" w:hAnsi="Verdana"/>
        </w:rPr>
        <w:t xml:space="preserve"> once they turn 16</w:t>
      </w:r>
    </w:p>
    <w:p w14:paraId="1606A0FD" w14:textId="2CA1D25A" w:rsidR="00EF5A2E" w:rsidRPr="00EF5A2E" w:rsidRDefault="00EF5A2E">
      <w:pPr>
        <w:rPr>
          <w:rFonts w:ascii="Verdana" w:hAnsi="Verdana"/>
        </w:rPr>
      </w:pPr>
    </w:p>
    <w:p w14:paraId="2EC17D73" w14:textId="02FAA067" w:rsidR="00EF5A2E" w:rsidRPr="00EF5A2E" w:rsidRDefault="00EF5A2E">
      <w:pPr>
        <w:rPr>
          <w:rFonts w:ascii="Verdana" w:hAnsi="Verdana"/>
          <w:i/>
          <w:iCs/>
        </w:rPr>
      </w:pPr>
      <w:r w:rsidRPr="00EF5A2E">
        <w:rPr>
          <w:rFonts w:ascii="Verdana" w:hAnsi="Verdana"/>
          <w:i/>
          <w:iCs/>
        </w:rPr>
        <w:t>What doesn’t that mean?</w:t>
      </w:r>
    </w:p>
    <w:p w14:paraId="3AB56F7D" w14:textId="18CD24A6" w:rsidR="00EF5A2E" w:rsidRDefault="00EF5A2E">
      <w:pPr>
        <w:rPr>
          <w:rFonts w:ascii="Verdana" w:hAnsi="Verdana"/>
        </w:rPr>
      </w:pPr>
      <w:r>
        <w:rPr>
          <w:rFonts w:ascii="Verdana" w:hAnsi="Verdana"/>
        </w:rPr>
        <w:t>It doesn’t mean that patients will suddenly be able to view their entire</w:t>
      </w:r>
      <w:r w:rsidR="00D20834">
        <w:rPr>
          <w:rFonts w:ascii="Verdana" w:hAnsi="Verdana"/>
        </w:rPr>
        <w:t>, historic,</w:t>
      </w:r>
      <w:r>
        <w:rPr>
          <w:rFonts w:ascii="Verdana" w:hAnsi="Verdana"/>
        </w:rPr>
        <w:t xml:space="preserve"> GP record – information dated on or before 31</w:t>
      </w:r>
      <w:r w:rsidRPr="00EF5A2E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October 2022. They will still need to request that level of </w:t>
      </w:r>
      <w:r w:rsidR="00D20834">
        <w:rPr>
          <w:rFonts w:ascii="Verdana" w:hAnsi="Verdana"/>
        </w:rPr>
        <w:t xml:space="preserve">“full </w:t>
      </w:r>
      <w:r>
        <w:rPr>
          <w:rFonts w:ascii="Verdana" w:hAnsi="Verdana"/>
        </w:rPr>
        <w:t>access</w:t>
      </w:r>
      <w:r w:rsidR="00D20834">
        <w:rPr>
          <w:rFonts w:ascii="Verdana" w:hAnsi="Verdana"/>
        </w:rPr>
        <w:t>”</w:t>
      </w:r>
      <w:r>
        <w:rPr>
          <w:rFonts w:ascii="Verdana" w:hAnsi="Verdana"/>
        </w:rPr>
        <w:t xml:space="preserve"> from us, </w:t>
      </w:r>
      <w:r w:rsidR="00D20834">
        <w:rPr>
          <w:rFonts w:ascii="Verdana" w:hAnsi="Verdana"/>
        </w:rPr>
        <w:t>their GP</w:t>
      </w:r>
      <w:r>
        <w:rPr>
          <w:rFonts w:ascii="Verdana" w:hAnsi="Verdana"/>
        </w:rPr>
        <w:t xml:space="preserve"> will still need to check that it would be safe for such access to be granted</w:t>
      </w:r>
      <w:r w:rsidR="00D20834">
        <w:rPr>
          <w:rFonts w:ascii="Verdana" w:hAnsi="Verdana"/>
        </w:rPr>
        <w:t>, and I/we will still need to check the record to redact any information that should not be visible.</w:t>
      </w:r>
    </w:p>
    <w:p w14:paraId="1AA4F1BC" w14:textId="22064E5D" w:rsidR="00EF5A2E" w:rsidRDefault="00EF5A2E">
      <w:pPr>
        <w:rPr>
          <w:rFonts w:ascii="Verdana" w:hAnsi="Verdana"/>
        </w:rPr>
      </w:pPr>
      <w:r>
        <w:rPr>
          <w:rFonts w:ascii="Verdana" w:hAnsi="Verdana"/>
        </w:rPr>
        <w:t>It will have no effect on the process of a patient making a data subject access request, as is their right under Article 15 of the UK GDPR. We will deal with SARs in exactly the same way as we do now.</w:t>
      </w:r>
    </w:p>
    <w:p w14:paraId="61A88DDD" w14:textId="4517CA15" w:rsidR="00EF5A2E" w:rsidRDefault="00EF5A2E">
      <w:pPr>
        <w:rPr>
          <w:rFonts w:ascii="Verdana" w:hAnsi="Verdana"/>
        </w:rPr>
      </w:pPr>
    </w:p>
    <w:p w14:paraId="03843BE6" w14:textId="7BB432D6" w:rsidR="00EF5A2E" w:rsidRPr="00D20834" w:rsidRDefault="00EF5A2E">
      <w:pPr>
        <w:rPr>
          <w:rFonts w:ascii="Verdana" w:hAnsi="Verdana"/>
          <w:i/>
          <w:iCs/>
        </w:rPr>
      </w:pPr>
      <w:r w:rsidRPr="00D20834">
        <w:rPr>
          <w:rFonts w:ascii="Verdana" w:hAnsi="Verdana"/>
          <w:i/>
          <w:iCs/>
        </w:rPr>
        <w:t>What are the implications of prospective records access?</w:t>
      </w:r>
    </w:p>
    <w:p w14:paraId="4B0F490E" w14:textId="236A95B3" w:rsidR="00EF5A2E" w:rsidRDefault="00EF5A2E" w:rsidP="00EF5A2E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We should assume that</w:t>
      </w:r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</w:rPr>
        <w:t>every single patient aged 16+ has prospective access (whether they actually do or not)</w:t>
      </w:r>
      <w:r>
        <w:rPr>
          <w:rFonts w:ascii="Verdana" w:hAnsi="Verdana"/>
        </w:rPr>
        <w:br/>
      </w:r>
      <w:r w:rsidR="00D20834">
        <w:rPr>
          <w:rFonts w:ascii="Verdana" w:hAnsi="Verdana"/>
        </w:rPr>
        <w:t xml:space="preserve">We should do that </w:t>
      </w:r>
      <w:r w:rsidR="00D20834">
        <w:rPr>
          <w:rFonts w:ascii="Verdana" w:hAnsi="Verdana"/>
          <w:i/>
          <w:iCs/>
        </w:rPr>
        <w:t>now</w:t>
      </w:r>
    </w:p>
    <w:p w14:paraId="27BA336B" w14:textId="77777777" w:rsidR="00D20834" w:rsidRDefault="00D20834" w:rsidP="00D20834">
      <w:pPr>
        <w:pStyle w:val="ListParagraph"/>
        <w:rPr>
          <w:rFonts w:ascii="Verdana" w:hAnsi="Verdana"/>
        </w:rPr>
      </w:pPr>
    </w:p>
    <w:p w14:paraId="7E27BE38" w14:textId="77777777" w:rsidR="00D20834" w:rsidRDefault="00EF5A2E" w:rsidP="00EF5A2E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That means that – unless you take steps – everything filed into the EMIS Web record will be visible to the patient – every consultation, result, </w:t>
      </w:r>
      <w:r w:rsidR="00D20834">
        <w:rPr>
          <w:rFonts w:ascii="Verdana" w:hAnsi="Verdana"/>
        </w:rPr>
        <w:t xml:space="preserve">EMIS </w:t>
      </w:r>
      <w:r>
        <w:rPr>
          <w:rFonts w:ascii="Verdana" w:hAnsi="Verdana"/>
        </w:rPr>
        <w:t xml:space="preserve">document, </w:t>
      </w:r>
      <w:r w:rsidR="00D20834">
        <w:rPr>
          <w:rFonts w:ascii="Verdana" w:hAnsi="Verdana"/>
        </w:rPr>
        <w:t xml:space="preserve">Docman document, </w:t>
      </w:r>
      <w:r>
        <w:rPr>
          <w:rFonts w:ascii="Verdana" w:hAnsi="Verdana"/>
        </w:rPr>
        <w:t>free text comment</w:t>
      </w:r>
      <w:r w:rsidR="00D20834">
        <w:rPr>
          <w:rFonts w:ascii="Verdana" w:hAnsi="Verdana"/>
        </w:rPr>
        <w:br/>
        <w:t>So be careful what you put in your consultations</w:t>
      </w:r>
    </w:p>
    <w:p w14:paraId="45D1A7AD" w14:textId="77777777" w:rsidR="00D20834" w:rsidRDefault="00D2083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DD0EC55" w14:textId="55B96E84" w:rsidR="00EF5A2E" w:rsidRDefault="00EF5A2E" w:rsidP="00D2083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lastRenderedPageBreak/>
        <w:br/>
      </w:r>
    </w:p>
    <w:p w14:paraId="1787AA44" w14:textId="18B25D9A" w:rsidR="00D20834" w:rsidRDefault="00EF5A2E" w:rsidP="00D2083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If you don’t want the patient to be able to see a particular piece of information</w:t>
      </w:r>
      <w:r w:rsidR="00D20834">
        <w:rPr>
          <w:rFonts w:ascii="Verdana" w:hAnsi="Verdana"/>
        </w:rPr>
        <w:t>:</w:t>
      </w:r>
      <w:r w:rsidR="00D20834"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i/>
          <w:iCs/>
        </w:rPr>
        <w:t xml:space="preserve">permanently </w:t>
      </w:r>
      <w:r>
        <w:rPr>
          <w:rFonts w:ascii="Verdana" w:hAnsi="Verdana"/>
          <w:i/>
          <w:iCs/>
        </w:rPr>
        <w:softHyphen/>
      </w:r>
      <w:r w:rsidR="00D20834">
        <w:rPr>
          <w:rFonts w:ascii="Verdana" w:hAnsi="Verdana"/>
          <w:i/>
          <w:iCs/>
        </w:rPr>
        <w:t>–</w:t>
      </w:r>
      <w:r>
        <w:rPr>
          <w:rFonts w:ascii="Verdana" w:hAnsi="Verdana"/>
          <w:i/>
          <w:iCs/>
        </w:rPr>
        <w:t xml:space="preserve"> </w:t>
      </w:r>
      <w:r w:rsidRPr="00D20834">
        <w:rPr>
          <w:rFonts w:ascii="Verdana" w:hAnsi="Verdana"/>
        </w:rPr>
        <w:t>suc</w:t>
      </w:r>
      <w:r w:rsidR="00D20834" w:rsidRPr="00D20834">
        <w:rPr>
          <w:rFonts w:ascii="Verdana" w:hAnsi="Verdana"/>
        </w:rPr>
        <w:t>h as a safeguarding report</w:t>
      </w:r>
      <w:r w:rsidR="00D20834">
        <w:rPr>
          <w:rFonts w:ascii="Verdana" w:hAnsi="Verdana"/>
        </w:rPr>
        <w:br/>
      </w:r>
      <w:r w:rsidR="00D20834" w:rsidRPr="00D20834">
        <w:rPr>
          <w:rFonts w:ascii="Verdana" w:hAnsi="Verdana"/>
          <w:i/>
          <w:iCs/>
        </w:rPr>
        <w:t>temporarily</w:t>
      </w:r>
      <w:r w:rsidR="00D20834">
        <w:rPr>
          <w:rFonts w:ascii="Verdana" w:hAnsi="Verdana"/>
        </w:rPr>
        <w:t xml:space="preserve"> – such as a result that you want to discuss with the patient first</w:t>
      </w:r>
    </w:p>
    <w:p w14:paraId="0DBDAD46" w14:textId="7D9FA755" w:rsidR="00D20834" w:rsidRDefault="00D20834" w:rsidP="00D2083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br/>
        <w:t>then it needs to be made not visible online (as per the attached guidance)</w:t>
      </w:r>
    </w:p>
    <w:p w14:paraId="70E37112" w14:textId="6075AFDB" w:rsidR="00D20834" w:rsidRDefault="00D20834" w:rsidP="00D20834">
      <w:pPr>
        <w:pStyle w:val="ListParagraph"/>
        <w:rPr>
          <w:rFonts w:ascii="Verdana" w:hAnsi="Verdana"/>
        </w:rPr>
      </w:pPr>
    </w:p>
    <w:p w14:paraId="46464EFA" w14:textId="480C6603" w:rsidR="00D20834" w:rsidRDefault="00D20834" w:rsidP="00D2083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That might mean creating </w:t>
      </w:r>
      <w:r>
        <w:rPr>
          <w:rFonts w:ascii="Verdana" w:hAnsi="Verdana"/>
          <w:i/>
          <w:iCs/>
        </w:rPr>
        <w:t xml:space="preserve">two </w:t>
      </w:r>
      <w:r>
        <w:rPr>
          <w:rFonts w:ascii="Verdana" w:hAnsi="Verdana"/>
        </w:rPr>
        <w:t xml:space="preserve">consultations, one hidden, one not hidden, </w:t>
      </w:r>
      <w:r w:rsidRPr="00D20834">
        <w:rPr>
          <w:rFonts w:ascii="Verdana" w:hAnsi="Verdana"/>
          <w:i/>
          <w:iCs/>
        </w:rPr>
        <w:t>if you feel that is needed</w:t>
      </w:r>
      <w:r w:rsidRPr="00D20834">
        <w:rPr>
          <w:rFonts w:ascii="Verdana" w:hAnsi="Verdana"/>
          <w:i/>
          <w:iCs/>
        </w:rPr>
        <w:br/>
      </w:r>
    </w:p>
    <w:p w14:paraId="6D871B9C" w14:textId="6AC46600" w:rsidR="00D20834" w:rsidRPr="00D20834" w:rsidRDefault="00D20834" w:rsidP="00D2083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We need to be vigilant to hide stuff (make non-visible) </w:t>
      </w:r>
      <w:r>
        <w:rPr>
          <w:rFonts w:ascii="Verdana" w:hAnsi="Verdana"/>
          <w:i/>
          <w:iCs/>
        </w:rPr>
        <w:t>as we file it.</w:t>
      </w:r>
      <w:r w:rsidRPr="00D20834">
        <w:rPr>
          <w:rFonts w:ascii="Verdana" w:hAnsi="Verdana"/>
          <w:i/>
          <w:iCs/>
        </w:rPr>
        <w:br/>
      </w:r>
      <w:r w:rsidRPr="00D20834">
        <w:rPr>
          <w:rFonts w:ascii="Verdana" w:hAnsi="Verdana"/>
          <w:i/>
          <w:iCs/>
        </w:rPr>
        <w:br/>
      </w:r>
      <w:r w:rsidRPr="00D20834">
        <w:rPr>
          <w:rFonts w:ascii="Verdana" w:hAnsi="Verdana"/>
        </w:rPr>
        <w:t xml:space="preserve">Pitfalls -  </w:t>
      </w:r>
      <w:r>
        <w:rPr>
          <w:rFonts w:ascii="Verdana" w:hAnsi="Verdana"/>
        </w:rPr>
        <w:t>r</w:t>
      </w:r>
      <w:r w:rsidRPr="00D20834">
        <w:rPr>
          <w:rFonts w:ascii="Verdana" w:hAnsi="Verdana"/>
        </w:rPr>
        <w:t>emember to hide where appropriate:</w:t>
      </w:r>
      <w:r w:rsidRPr="00D20834">
        <w:rPr>
          <w:rFonts w:ascii="Verdana" w:hAnsi="Verdana"/>
        </w:rPr>
        <w:br/>
      </w:r>
    </w:p>
    <w:p w14:paraId="5E610E86" w14:textId="20E2D219" w:rsidR="00D20834" w:rsidRDefault="00D20834" w:rsidP="00D20834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Results downloaded from </w:t>
      </w:r>
      <w:proofErr w:type="spellStart"/>
      <w:r w:rsidR="00B80534">
        <w:rPr>
          <w:rFonts w:ascii="Verdana" w:hAnsi="Verdana"/>
        </w:rPr>
        <w:t>pathlinks</w:t>
      </w:r>
      <w:proofErr w:type="spellEnd"/>
    </w:p>
    <w:p w14:paraId="47B4D0A4" w14:textId="65344DCE" w:rsidR="00D20834" w:rsidRDefault="00D20834" w:rsidP="00D20834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Discharge summaries with distressing information or diagnosis, until you have discussed it with the patient</w:t>
      </w:r>
    </w:p>
    <w:p w14:paraId="140DC7EF" w14:textId="77777777" w:rsidR="00D20834" w:rsidRDefault="00D20834" w:rsidP="00D2083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D20834">
        <w:rPr>
          <w:rFonts w:ascii="Verdana" w:hAnsi="Verdana"/>
        </w:rPr>
        <w:t>Correspondence which clearly shows a colleague’s email address, or mobile phone number</w:t>
      </w:r>
    </w:p>
    <w:p w14:paraId="695EB87D" w14:textId="77777777" w:rsidR="00D20834" w:rsidRDefault="00D20834" w:rsidP="00D2083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D20834">
        <w:rPr>
          <w:rFonts w:ascii="Verdana" w:hAnsi="Verdana"/>
        </w:rPr>
        <w:t>Everything safeguarding</w:t>
      </w:r>
    </w:p>
    <w:p w14:paraId="027C3FCC" w14:textId="77777777" w:rsidR="00D20834" w:rsidRDefault="00D20834" w:rsidP="00D2083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D20834">
        <w:rPr>
          <w:rFonts w:ascii="Verdana" w:hAnsi="Verdana"/>
        </w:rPr>
        <w:t>Results that you don’t want the patient to see before you have discussed it with them</w:t>
      </w:r>
    </w:p>
    <w:p w14:paraId="6ECDEA69" w14:textId="77777777" w:rsidR="00D20834" w:rsidRDefault="00D20834" w:rsidP="00D2083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D20834">
        <w:rPr>
          <w:rFonts w:ascii="Verdana" w:hAnsi="Verdana"/>
        </w:rPr>
        <w:t>Letters provided in confidence from family member/neighbours etc</w:t>
      </w:r>
    </w:p>
    <w:p w14:paraId="68E38B5E" w14:textId="2299CCF4" w:rsidR="00D20834" w:rsidRDefault="00D20834" w:rsidP="00D2083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D20834">
        <w:rPr>
          <w:rFonts w:ascii="Verdana" w:hAnsi="Verdana"/>
        </w:rPr>
        <w:t>Documents containing personal data about another person (3</w:t>
      </w:r>
      <w:r w:rsidRPr="00D20834">
        <w:rPr>
          <w:rFonts w:ascii="Verdana" w:hAnsi="Verdana"/>
          <w:vertAlign w:val="superscript"/>
        </w:rPr>
        <w:t>rd</w:t>
      </w:r>
      <w:r w:rsidRPr="00D20834">
        <w:rPr>
          <w:rFonts w:ascii="Verdana" w:hAnsi="Verdana"/>
        </w:rPr>
        <w:t xml:space="preserve"> party information)</w:t>
      </w:r>
    </w:p>
    <w:p w14:paraId="015867EA" w14:textId="789C921A" w:rsidR="00D20834" w:rsidRDefault="00D20834" w:rsidP="00D20834">
      <w:pPr>
        <w:rPr>
          <w:rFonts w:ascii="Verdana" w:hAnsi="Verdana"/>
        </w:rPr>
      </w:pPr>
    </w:p>
    <w:p w14:paraId="299DE084" w14:textId="45148E27" w:rsidR="00D20834" w:rsidRDefault="00D20834" w:rsidP="00D20834">
      <w:pPr>
        <w:rPr>
          <w:rFonts w:ascii="Verdana" w:hAnsi="Verdana"/>
          <w:i/>
          <w:iCs/>
        </w:rPr>
      </w:pPr>
      <w:r w:rsidRPr="00D20834">
        <w:rPr>
          <w:rFonts w:ascii="Verdana" w:hAnsi="Verdana"/>
          <w:i/>
          <w:iCs/>
        </w:rPr>
        <w:t>How can we stop this for an individual patient?</w:t>
      </w:r>
    </w:p>
    <w:p w14:paraId="70031E00" w14:textId="77777777" w:rsidR="00D20834" w:rsidRDefault="00D20834" w:rsidP="00D20834">
      <w:pPr>
        <w:rPr>
          <w:rFonts w:ascii="Verdana" w:hAnsi="Verdana"/>
        </w:rPr>
      </w:pPr>
      <w:r>
        <w:rPr>
          <w:rFonts w:ascii="Verdana" w:hAnsi="Verdana"/>
        </w:rPr>
        <w:t>If you genuinely believe that a patient absolutely must not have automatic prospective (not historic) records access, then you can add a code, before 1</w:t>
      </w:r>
      <w:r w:rsidRPr="00D20834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November, to their notes to prevent that switch-on for them (or when they sign up to the NHS App).</w:t>
      </w:r>
    </w:p>
    <w:p w14:paraId="39B22676" w14:textId="17CDF84D" w:rsidR="00D20834" w:rsidRPr="00D20834" w:rsidRDefault="00D20834" w:rsidP="00D20834">
      <w:pPr>
        <w:rPr>
          <w:rFonts w:ascii="Verdana" w:hAnsi="Verdana"/>
        </w:rPr>
      </w:pPr>
      <w:r w:rsidRPr="00D20834">
        <w:rPr>
          <w:rFonts w:ascii="Verdana" w:hAnsi="Verdana"/>
        </w:rPr>
        <w:t xml:space="preserve">Adding the </w:t>
      </w:r>
      <w:proofErr w:type="spellStart"/>
      <w:r w:rsidR="00B80534">
        <w:rPr>
          <w:rFonts w:ascii="Verdana" w:hAnsi="Verdana"/>
        </w:rPr>
        <w:t>SnoMed</w:t>
      </w:r>
      <w:proofErr w:type="spellEnd"/>
      <w:r w:rsidRPr="00D20834">
        <w:rPr>
          <w:rFonts w:ascii="Verdana" w:hAnsi="Verdana"/>
        </w:rPr>
        <w:t xml:space="preserve"> Code “</w:t>
      </w:r>
      <w:r w:rsidRPr="00D20834">
        <w:rPr>
          <w:rFonts w:ascii="Verdana" w:hAnsi="Verdana"/>
          <w:i/>
          <w:iCs/>
        </w:rPr>
        <w:t>enhanced review indicated before granting access to own health record</w:t>
      </w:r>
      <w:r w:rsidRPr="00D20834">
        <w:rPr>
          <w:rFonts w:ascii="Verdana" w:hAnsi="Verdana"/>
        </w:rPr>
        <w:t>” will prevent automatic ‘switch-on’ of online access to prospective records.</w:t>
      </w:r>
    </w:p>
    <w:p w14:paraId="4F9699DE" w14:textId="77777777" w:rsidR="00D20834" w:rsidRDefault="00D20834" w:rsidP="00D20834">
      <w:pPr>
        <w:rPr>
          <w:rFonts w:ascii="Verdana" w:hAnsi="Verdana"/>
        </w:rPr>
      </w:pPr>
      <w:r w:rsidRPr="00D20834">
        <w:rPr>
          <w:rFonts w:ascii="Verdana" w:hAnsi="Verdana"/>
        </w:rPr>
        <w:t>This code does not affect proxy access but when applied to those under 16 years old it will prevent them from automatically having access after their 16th birthday.</w:t>
      </w:r>
    </w:p>
    <w:p w14:paraId="5B0D140F" w14:textId="701D3D00" w:rsidR="00D20834" w:rsidRDefault="00D20834" w:rsidP="00D20834">
      <w:pPr>
        <w:rPr>
          <w:rFonts w:ascii="Verdana" w:hAnsi="Verdana"/>
        </w:rPr>
      </w:pPr>
      <w:r>
        <w:rPr>
          <w:rFonts w:ascii="Verdana" w:hAnsi="Verdana"/>
        </w:rPr>
        <w:t xml:space="preserve">That code being added should be the exception. You might genuinely feel that a patient would be put in mortal danger if automatic records access happened, perhaps because you have strong suspicions that they are in a controlling and coercive relationship and that it is highly likely that their partner would have access to the patient’s app. </w:t>
      </w:r>
    </w:p>
    <w:p w14:paraId="7AE8975C" w14:textId="77777777" w:rsidR="00D20834" w:rsidRDefault="00D20834" w:rsidP="00D20834">
      <w:pPr>
        <w:rPr>
          <w:rFonts w:ascii="Verdana" w:hAnsi="Verdana"/>
        </w:rPr>
      </w:pPr>
      <w:r>
        <w:rPr>
          <w:rFonts w:ascii="Verdana" w:hAnsi="Verdana"/>
        </w:rPr>
        <w:t>You may then wish to discuss records access with the patient first, and then remove the code if you are satisfied that prospective access would be safe.</w:t>
      </w:r>
    </w:p>
    <w:p w14:paraId="409E581E" w14:textId="3F687CD4" w:rsidR="00D20834" w:rsidRPr="00D20834" w:rsidRDefault="00D20834" w:rsidP="00D20834">
      <w:pPr>
        <w:rPr>
          <w:rFonts w:ascii="Verdana" w:hAnsi="Verdana"/>
        </w:rPr>
      </w:pPr>
      <w:r>
        <w:rPr>
          <w:rFonts w:ascii="Verdana" w:hAnsi="Verdana"/>
        </w:rPr>
        <w:t xml:space="preserve">Just because a patient has a history of depression or psychosis, or that you anticipate safeguarding information will be incoming to their record, it is not a reason to </w:t>
      </w:r>
      <w:r>
        <w:rPr>
          <w:rFonts w:ascii="Verdana" w:hAnsi="Verdana"/>
          <w:i/>
          <w:iCs/>
        </w:rPr>
        <w:t>automatically</w:t>
      </w:r>
      <w:r>
        <w:rPr>
          <w:rFonts w:ascii="Verdana" w:hAnsi="Verdana"/>
        </w:rPr>
        <w:t xml:space="preserve"> exempt them from prospective access. Think about the patient and their </w:t>
      </w:r>
      <w:proofErr w:type="gramStart"/>
      <w:r>
        <w:rPr>
          <w:rFonts w:ascii="Verdana" w:hAnsi="Verdana"/>
        </w:rPr>
        <w:t>circumstances, and</w:t>
      </w:r>
      <w:proofErr w:type="gramEnd"/>
      <w:r>
        <w:rPr>
          <w:rFonts w:ascii="Verdana" w:hAnsi="Verdana"/>
        </w:rPr>
        <w:t xml:space="preserve"> discuss it with your Caldicott Guardian if needs be.</w:t>
      </w:r>
      <w:r>
        <w:rPr>
          <w:rFonts w:ascii="Verdana" w:hAnsi="Verdana"/>
        </w:rPr>
        <w:br/>
      </w:r>
    </w:p>
    <w:sectPr w:rsidR="00D20834" w:rsidRPr="00D20834" w:rsidSect="00EF5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11EA" w14:textId="77777777" w:rsidR="00EF1E34" w:rsidRDefault="00EF1E34" w:rsidP="00EF5A2E">
      <w:pPr>
        <w:spacing w:after="0" w:line="240" w:lineRule="auto"/>
      </w:pPr>
      <w:r>
        <w:separator/>
      </w:r>
    </w:p>
  </w:endnote>
  <w:endnote w:type="continuationSeparator" w:id="0">
    <w:p w14:paraId="76EAFD15" w14:textId="77777777" w:rsidR="00EF1E34" w:rsidRDefault="00EF1E34" w:rsidP="00EF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86A7" w14:textId="77777777" w:rsidR="00EF1E34" w:rsidRDefault="00EF1E34" w:rsidP="00EF5A2E">
      <w:pPr>
        <w:spacing w:after="0" w:line="240" w:lineRule="auto"/>
      </w:pPr>
      <w:r>
        <w:separator/>
      </w:r>
    </w:p>
  </w:footnote>
  <w:footnote w:type="continuationSeparator" w:id="0">
    <w:p w14:paraId="6D68A5CC" w14:textId="77777777" w:rsidR="00EF1E34" w:rsidRDefault="00EF1E34" w:rsidP="00EF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40F4"/>
    <w:multiLevelType w:val="hybridMultilevel"/>
    <w:tmpl w:val="3F1E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5FF5"/>
    <w:multiLevelType w:val="hybridMultilevel"/>
    <w:tmpl w:val="4F9EBB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21DD"/>
    <w:multiLevelType w:val="hybridMultilevel"/>
    <w:tmpl w:val="84C06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8517087">
    <w:abstractNumId w:val="0"/>
  </w:num>
  <w:num w:numId="2" w16cid:durableId="1786924141">
    <w:abstractNumId w:val="1"/>
  </w:num>
  <w:num w:numId="3" w16cid:durableId="308443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2E"/>
    <w:rsid w:val="006754D9"/>
    <w:rsid w:val="00927112"/>
    <w:rsid w:val="00B80534"/>
    <w:rsid w:val="00D20834"/>
    <w:rsid w:val="00E8789D"/>
    <w:rsid w:val="00EF1E34"/>
    <w:rsid w:val="00E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144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2E"/>
  </w:style>
  <w:style w:type="paragraph" w:styleId="Footer">
    <w:name w:val="footer"/>
    <w:basedOn w:val="Normal"/>
    <w:link w:val="FooterChar"/>
    <w:uiPriority w:val="99"/>
    <w:unhideWhenUsed/>
    <w:rsid w:val="00EF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2E"/>
  </w:style>
  <w:style w:type="paragraph" w:styleId="ListParagraph">
    <w:name w:val="List Paragraph"/>
    <w:basedOn w:val="Normal"/>
    <w:uiPriority w:val="34"/>
    <w:qFormat/>
    <w:rsid w:val="00EF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7" ma:contentTypeDescription="Create a new document." ma:contentTypeScope="" ma:versionID="6585fbf9bb8b7a9cfacf57f566e16714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60dc39cff8991c4c8072ea1cae3ff422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5C3F1-F6FC-48D6-BE2D-C82ED8F875E1}"/>
</file>

<file path=customXml/itemProps2.xml><?xml version="1.0" encoding="utf-8"?>
<ds:datastoreItem xmlns:ds="http://schemas.openxmlformats.org/officeDocument/2006/customXml" ds:itemID="{4366B756-D32E-4A23-BFD7-EB29999B3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2022-10-06T13:28:00Z</dcterms:created>
  <dcterms:modified xsi:type="dcterms:W3CDTF">2022-10-06T13:28:00Z</dcterms:modified>
</cp:coreProperties>
</file>